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F64EAF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2017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D60AC3">
              <w:rPr>
                <w:rFonts w:asciiTheme="majorHAnsi" w:eastAsiaTheme="majorEastAsia" w:hAnsiTheme="majorHAnsi" w:cstheme="majorBidi"/>
                <w:sz w:val="36"/>
                <w:szCs w:val="36"/>
              </w:rPr>
              <w:t>HAZİRAN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5727E5" w:rsidRDefault="00D60AC3" w:rsidP="003D4079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22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Haziran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F64EAF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2017</w:t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5727E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25359A03" wp14:editId="14622A1A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D60AC3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Haziran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EAF">
        <w:rPr>
          <w:rFonts w:ascii="Times New Roman" w:hAnsi="Times New Roman" w:cs="Times New Roman"/>
          <w:b/>
          <w:sz w:val="24"/>
          <w:szCs w:val="24"/>
        </w:rPr>
        <w:t>2017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E40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Haziran</w:t>
      </w:r>
      <w:r w:rsidR="00957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EAF">
        <w:rPr>
          <w:rFonts w:ascii="Times New Roman" w:hAnsi="Times New Roman" w:cs="Times New Roman"/>
          <w:b/>
          <w:sz w:val="24"/>
          <w:szCs w:val="24"/>
        </w:rPr>
        <w:t>2017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>Tüketici Gü</w:t>
      </w:r>
      <w:r w:rsidR="00A763A1">
        <w:t>ven Endeksi bir önceki aya göre</w:t>
      </w:r>
      <w:r w:rsidR="00242BC9">
        <w:t xml:space="preserve"> </w:t>
      </w:r>
      <w:r w:rsidR="00D60AC3">
        <w:t>azalış</w:t>
      </w:r>
      <w:r w:rsidR="008E52E9">
        <w:t xml:space="preserve"> </w:t>
      </w:r>
      <w:r w:rsidR="004E7EAF">
        <w:t>sergilemiştir</w:t>
      </w:r>
      <w:r w:rsidRPr="00586863">
        <w:t>.</w:t>
      </w:r>
    </w:p>
    <w:p w:rsidR="00586863" w:rsidRDefault="00446E52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D60AC3">
        <w:rPr>
          <w:rFonts w:ascii="Times New Roman" w:hAnsi="Times New Roman" w:cs="Times New Roman"/>
          <w:sz w:val="24"/>
          <w:szCs w:val="24"/>
        </w:rPr>
        <w:t>Mayıs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proofErr w:type="gramStart"/>
      <w:r w:rsidR="00D60AC3">
        <w:rPr>
          <w:rFonts w:ascii="Times New Roman" w:hAnsi="Times New Roman" w:cs="Times New Roman"/>
          <w:sz w:val="24"/>
          <w:szCs w:val="24"/>
        </w:rPr>
        <w:t>72.8</w:t>
      </w:r>
      <w:proofErr w:type="gramEnd"/>
      <w:r w:rsidR="00D24FB2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F64EAF">
        <w:rPr>
          <w:rFonts w:ascii="Times New Roman" w:hAnsi="Times New Roman" w:cs="Times New Roman"/>
          <w:sz w:val="24"/>
          <w:szCs w:val="24"/>
        </w:rPr>
        <w:t xml:space="preserve">2017 </w:t>
      </w:r>
      <w:r w:rsidR="00D60AC3">
        <w:rPr>
          <w:rFonts w:ascii="Times New Roman" w:hAnsi="Times New Roman" w:cs="Times New Roman"/>
          <w:sz w:val="24"/>
          <w:szCs w:val="24"/>
        </w:rPr>
        <w:t>Haziran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D60AC3">
        <w:rPr>
          <w:rFonts w:ascii="Times New Roman" w:hAnsi="Times New Roman" w:cs="Times New Roman"/>
          <w:sz w:val="24"/>
          <w:szCs w:val="24"/>
        </w:rPr>
        <w:t>2.8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D60AC3">
        <w:rPr>
          <w:rFonts w:ascii="Times New Roman" w:hAnsi="Times New Roman" w:cs="Times New Roman"/>
          <w:sz w:val="24"/>
          <w:szCs w:val="24"/>
        </w:rPr>
        <w:t>azalarak</w:t>
      </w:r>
      <w:r w:rsidR="008E52E9">
        <w:rPr>
          <w:rFonts w:ascii="Times New Roman" w:hAnsi="Times New Roman" w:cs="Times New Roman"/>
          <w:sz w:val="24"/>
          <w:szCs w:val="24"/>
        </w:rPr>
        <w:t xml:space="preserve"> </w:t>
      </w:r>
      <w:r w:rsidR="00D60AC3">
        <w:rPr>
          <w:rFonts w:ascii="Times New Roman" w:hAnsi="Times New Roman" w:cs="Times New Roman"/>
          <w:sz w:val="24"/>
          <w:szCs w:val="24"/>
        </w:rPr>
        <w:t>70.0</w:t>
      </w:r>
      <w:r w:rsidR="005D3B67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D60AC3">
        <w:rPr>
          <w:rFonts w:ascii="Times New Roman" w:hAnsi="Times New Roman" w:cs="Times New Roman"/>
          <w:sz w:val="24"/>
          <w:szCs w:val="24"/>
        </w:rPr>
        <w:t>gerilemiştir</w:t>
      </w:r>
      <w:r w:rsidR="000E3F12">
        <w:rPr>
          <w:rFonts w:ascii="Times New Roman" w:hAnsi="Times New Roman" w:cs="Times New Roman"/>
          <w:sz w:val="24"/>
          <w:szCs w:val="24"/>
        </w:rPr>
        <w:t>.</w:t>
      </w:r>
      <w:r w:rsidR="0066304C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>
        <w:rPr>
          <w:rFonts w:ascii="Times New Roman" w:hAnsi="Times New Roman" w:cs="Times New Roman"/>
          <w:sz w:val="24"/>
          <w:szCs w:val="24"/>
        </w:rPr>
        <w:t>geçtiğimiz ay</w:t>
      </w:r>
      <w:r w:rsidR="002A1E0B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CF20D8">
        <w:rPr>
          <w:rFonts w:ascii="Times New Roman" w:hAnsi="Times New Roman" w:cs="Times New Roman"/>
          <w:sz w:val="24"/>
          <w:szCs w:val="24"/>
        </w:rPr>
        <w:t>a</w:t>
      </w:r>
      <w:r w:rsidR="007B24FA">
        <w:rPr>
          <w:rFonts w:ascii="Times New Roman" w:hAnsi="Times New Roman" w:cs="Times New Roman"/>
          <w:sz w:val="24"/>
          <w:szCs w:val="24"/>
        </w:rPr>
        <w:t>rtışın</w:t>
      </w:r>
      <w:r w:rsidR="00B85A44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ardından</w:t>
      </w:r>
      <w:r w:rsidR="002C6F9B">
        <w:rPr>
          <w:rFonts w:ascii="Times New Roman" w:hAnsi="Times New Roman" w:cs="Times New Roman"/>
          <w:sz w:val="24"/>
          <w:szCs w:val="24"/>
        </w:rPr>
        <w:t xml:space="preserve"> </w:t>
      </w:r>
      <w:r w:rsidR="00D60AC3">
        <w:rPr>
          <w:rFonts w:ascii="Times New Roman" w:hAnsi="Times New Roman" w:cs="Times New Roman"/>
          <w:sz w:val="24"/>
          <w:szCs w:val="24"/>
        </w:rPr>
        <w:t>azalma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 w:rsidR="00723AC6">
        <w:rPr>
          <w:rFonts w:ascii="Times New Roman" w:hAnsi="Times New Roman" w:cs="Times New Roman"/>
          <w:sz w:val="24"/>
          <w:szCs w:val="24"/>
        </w:rPr>
        <w:t>eğilimi</w:t>
      </w:r>
      <w:r w:rsidR="007B24FA">
        <w:rPr>
          <w:rFonts w:ascii="Times New Roman" w:hAnsi="Times New Roman" w:cs="Times New Roman"/>
          <w:sz w:val="24"/>
          <w:szCs w:val="24"/>
        </w:rPr>
        <w:t xml:space="preserve">ne </w:t>
      </w:r>
      <w:r w:rsidR="00D60AC3">
        <w:rPr>
          <w:rFonts w:ascii="Times New Roman" w:hAnsi="Times New Roman" w:cs="Times New Roman"/>
          <w:sz w:val="24"/>
          <w:szCs w:val="24"/>
        </w:rPr>
        <w:t>girmiştir</w:t>
      </w:r>
      <w:r w:rsidR="00E60A5E">
        <w:rPr>
          <w:rFonts w:ascii="Times New Roman" w:hAnsi="Times New Roman" w:cs="Times New Roman"/>
          <w:sz w:val="24"/>
          <w:szCs w:val="24"/>
        </w:rPr>
        <w:t xml:space="preserve">. </w:t>
      </w:r>
      <w:r w:rsidR="00AF36C5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proofErr w:type="gramStart"/>
      <w:r w:rsidR="00D60AC3">
        <w:rPr>
          <w:rFonts w:ascii="Times New Roman" w:hAnsi="Times New Roman" w:cs="Times New Roman"/>
          <w:sz w:val="24"/>
          <w:szCs w:val="24"/>
        </w:rPr>
        <w:t>0.6</w:t>
      </w:r>
      <w:proofErr w:type="gramEnd"/>
      <w:r w:rsidR="00BF0B58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E85590">
        <w:rPr>
          <w:rFonts w:ascii="Times New Roman" w:hAnsi="Times New Roman" w:cs="Times New Roman"/>
          <w:sz w:val="24"/>
          <w:szCs w:val="24"/>
        </w:rPr>
        <w:t>artış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7B24FA">
        <w:t>Ocak</w:t>
      </w:r>
      <w:r w:rsidR="00F64EAF">
        <w:t xml:space="preserve"> 2016</w:t>
      </w:r>
      <w:r>
        <w:t>-</w:t>
      </w:r>
      <w:r w:rsidR="00D60AC3">
        <w:t>Haziran</w:t>
      </w:r>
      <w:r w:rsidR="009577EA">
        <w:t xml:space="preserve"> </w:t>
      </w:r>
      <w:r w:rsidR="00F64EAF">
        <w:t>2017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27A4DBE" wp14:editId="390557C7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5DFE" w:rsidRPr="00AF4C7B" w:rsidRDefault="00CF66DE" w:rsidP="00912B4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1A1012">
        <w:rPr>
          <w:rFonts w:ascii="Times New Roman" w:hAnsi="Times New Roman" w:cs="Times New Roman"/>
          <w:sz w:val="24"/>
          <w:szCs w:val="24"/>
        </w:rPr>
        <w:t>işsiz sayısındaki düşüş</w:t>
      </w:r>
      <w:r w:rsidR="00BA5148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1A1012">
        <w:rPr>
          <w:rFonts w:ascii="Times New Roman" w:hAnsi="Times New Roman" w:cs="Times New Roman"/>
          <w:sz w:val="24"/>
          <w:szCs w:val="24"/>
        </w:rPr>
        <w:t>4.6</w:t>
      </w:r>
      <w:r w:rsidR="00241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puan) ve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1A1012">
        <w:rPr>
          <w:rFonts w:ascii="Times New Roman" w:hAnsi="Times New Roman" w:cs="Times New Roman"/>
          <w:sz w:val="24"/>
          <w:szCs w:val="24"/>
        </w:rPr>
        <w:t xml:space="preserve">genel ekonomik </w:t>
      </w:r>
      <w:proofErr w:type="gramStart"/>
      <w:r w:rsidR="001A1012">
        <w:rPr>
          <w:rFonts w:ascii="Times New Roman" w:hAnsi="Times New Roman" w:cs="Times New Roman"/>
          <w:sz w:val="24"/>
          <w:szCs w:val="24"/>
        </w:rPr>
        <w:t>durum</w:t>
      </w:r>
      <w:r w:rsidR="00BA5148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 xml:space="preserve"> beklentisinin</w:t>
      </w:r>
      <w:proofErr w:type="gramEnd"/>
      <w:r w:rsidR="00912B49">
        <w:rPr>
          <w:rFonts w:ascii="Times New Roman" w:hAnsi="Times New Roman" w:cs="Times New Roman"/>
          <w:sz w:val="24"/>
          <w:szCs w:val="24"/>
        </w:rPr>
        <w:t xml:space="preserve"> (</w:t>
      </w:r>
      <w:r w:rsidR="001A1012">
        <w:rPr>
          <w:rFonts w:ascii="Times New Roman" w:hAnsi="Times New Roman" w:cs="Times New Roman"/>
          <w:sz w:val="24"/>
          <w:szCs w:val="24"/>
        </w:rPr>
        <w:t>3.3</w:t>
      </w:r>
      <w:r w:rsidR="00055C6E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>
        <w:rPr>
          <w:rFonts w:ascii="Times New Roman" w:hAnsi="Times New Roman" w:cs="Times New Roman"/>
          <w:sz w:val="24"/>
          <w:szCs w:val="24"/>
        </w:rPr>
        <w:t xml:space="preserve">) </w:t>
      </w:r>
      <w:r w:rsidR="001A1012">
        <w:rPr>
          <w:rFonts w:ascii="Times New Roman" w:hAnsi="Times New Roman" w:cs="Times New Roman"/>
          <w:sz w:val="24"/>
          <w:szCs w:val="24"/>
        </w:rPr>
        <w:t>kötüleştiği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9D0927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hanenin maddi durum</w:t>
      </w:r>
      <w:r w:rsidR="001504A1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41DA1">
        <w:rPr>
          <w:rFonts w:ascii="Times New Roman" w:hAnsi="Times New Roman" w:cs="Times New Roman"/>
          <w:sz w:val="24"/>
          <w:szCs w:val="24"/>
        </w:rPr>
        <w:t xml:space="preserve"> de</w:t>
      </w:r>
      <w:r w:rsidR="00E313B7">
        <w:rPr>
          <w:rFonts w:ascii="Times New Roman" w:hAnsi="Times New Roman" w:cs="Times New Roman"/>
          <w:sz w:val="24"/>
          <w:szCs w:val="24"/>
        </w:rPr>
        <w:t xml:space="preserve"> </w:t>
      </w:r>
      <w:r w:rsidR="001A1012">
        <w:rPr>
          <w:rFonts w:ascii="Times New Roman" w:hAnsi="Times New Roman" w:cs="Times New Roman"/>
          <w:sz w:val="24"/>
          <w:szCs w:val="24"/>
        </w:rPr>
        <w:t>2</w:t>
      </w:r>
      <w:r w:rsidR="00150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E85590">
        <w:rPr>
          <w:rFonts w:ascii="Times New Roman" w:hAnsi="Times New Roman" w:cs="Times New Roman"/>
          <w:sz w:val="24"/>
          <w:szCs w:val="24"/>
        </w:rPr>
        <w:t>a</w:t>
      </w:r>
      <w:r w:rsidR="001A1012">
        <w:rPr>
          <w:rFonts w:ascii="Times New Roman" w:hAnsi="Times New Roman" w:cs="Times New Roman"/>
          <w:sz w:val="24"/>
          <w:szCs w:val="24"/>
        </w:rPr>
        <w:t>zaldığ</w:t>
      </w:r>
      <w:r w:rsidR="00E85590">
        <w:rPr>
          <w:rFonts w:ascii="Times New Roman" w:hAnsi="Times New Roman" w:cs="Times New Roman"/>
          <w:sz w:val="24"/>
          <w:szCs w:val="24"/>
        </w:rPr>
        <w:t>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BA5148">
        <w:rPr>
          <w:rFonts w:ascii="Times New Roman" w:hAnsi="Times New Roman" w:cs="Times New Roman"/>
          <w:sz w:val="24"/>
          <w:szCs w:val="24"/>
        </w:rPr>
        <w:t>Tasarruf etme ihtimalinde</w:t>
      </w:r>
      <w:r w:rsidR="00E85590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ise</w:t>
      </w:r>
      <w:r w:rsidR="004E7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012">
        <w:rPr>
          <w:rFonts w:ascii="Times New Roman" w:hAnsi="Times New Roman" w:cs="Times New Roman"/>
          <w:sz w:val="24"/>
          <w:szCs w:val="24"/>
        </w:rPr>
        <w:t>1.2</w:t>
      </w:r>
      <w:proofErr w:type="gramEnd"/>
      <w:r w:rsidR="00B60484">
        <w:rPr>
          <w:rFonts w:ascii="Times New Roman" w:hAnsi="Times New Roman" w:cs="Times New Roman"/>
          <w:sz w:val="24"/>
          <w:szCs w:val="24"/>
        </w:rPr>
        <w:t xml:space="preserve"> </w:t>
      </w:r>
      <w:r w:rsidR="005F5743">
        <w:rPr>
          <w:rFonts w:ascii="Times New Roman" w:hAnsi="Times New Roman" w:cs="Times New Roman"/>
          <w:sz w:val="24"/>
          <w:szCs w:val="24"/>
        </w:rPr>
        <w:t>puan</w:t>
      </w:r>
      <w:r w:rsidR="006B1E56">
        <w:rPr>
          <w:rFonts w:ascii="Times New Roman" w:hAnsi="Times New Roman" w:cs="Times New Roman"/>
          <w:sz w:val="24"/>
          <w:szCs w:val="24"/>
        </w:rPr>
        <w:t xml:space="preserve"> </w:t>
      </w:r>
      <w:r w:rsidR="00BA5148">
        <w:rPr>
          <w:rFonts w:ascii="Times New Roman" w:hAnsi="Times New Roman" w:cs="Times New Roman"/>
          <w:sz w:val="24"/>
          <w:szCs w:val="24"/>
        </w:rPr>
        <w:t>kötüleşme</w:t>
      </w:r>
      <w:r w:rsidR="004E7EAF">
        <w:rPr>
          <w:rFonts w:ascii="Times New Roman" w:hAnsi="Times New Roman" w:cs="Times New Roman"/>
          <w:sz w:val="24"/>
          <w:szCs w:val="24"/>
        </w:rPr>
        <w:t xml:space="preserve"> yaşanmıştır.</w:t>
      </w:r>
    </w:p>
    <w:p w:rsidR="004E7EAF" w:rsidRDefault="004E7EAF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DC3CEB" w:rsidTr="0014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Değişim oranı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4E7EAF" w:rsidRPr="00415908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41590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4E7EAF" w:rsidRPr="00415908" w:rsidRDefault="00D60AC3" w:rsidP="0078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Mayıs</w:t>
            </w:r>
            <w:r w:rsidR="00CF20D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’17</w:t>
            </w:r>
          </w:p>
        </w:tc>
        <w:tc>
          <w:tcPr>
            <w:tcW w:w="1328" w:type="dxa"/>
            <w:noWrap/>
            <w:hideMark/>
          </w:tcPr>
          <w:p w:rsidR="004E7EAF" w:rsidRPr="00415908" w:rsidRDefault="00D60AC3" w:rsidP="0078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Haziran</w:t>
            </w:r>
            <w:r w:rsidR="00493D1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</w:t>
            </w:r>
            <w:r w:rsidR="00C14DF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17</w:t>
            </w:r>
          </w:p>
        </w:tc>
        <w:tc>
          <w:tcPr>
            <w:tcW w:w="1300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yılın aynı ayına göre</w:t>
            </w:r>
          </w:p>
        </w:tc>
        <w:tc>
          <w:tcPr>
            <w:tcW w:w="1300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aya göre</w:t>
            </w:r>
          </w:p>
        </w:tc>
      </w:tr>
      <w:tr w:rsidR="00056A46" w:rsidRPr="00146AE4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056A46" w:rsidRPr="00146AE4" w:rsidRDefault="00056A46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056A46" w:rsidRPr="00146AE4" w:rsidRDefault="00056A46" w:rsidP="00322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72.8</w:t>
            </w:r>
          </w:p>
        </w:tc>
        <w:tc>
          <w:tcPr>
            <w:tcW w:w="1328" w:type="dxa"/>
            <w:noWrap/>
          </w:tcPr>
          <w:p w:rsidR="00056A46" w:rsidRPr="00146AE4" w:rsidRDefault="00AC74CA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70.0</w:t>
            </w:r>
          </w:p>
        </w:tc>
        <w:tc>
          <w:tcPr>
            <w:tcW w:w="1300" w:type="dxa"/>
          </w:tcPr>
          <w:p w:rsidR="00056A46" w:rsidRPr="00146AE4" w:rsidRDefault="00056A46" w:rsidP="003F7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2.1</w:t>
            </w:r>
          </w:p>
        </w:tc>
        <w:tc>
          <w:tcPr>
            <w:tcW w:w="1300" w:type="dxa"/>
          </w:tcPr>
          <w:p w:rsidR="00056A46" w:rsidRPr="00146AE4" w:rsidRDefault="00056A46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-3.8</w:t>
            </w:r>
          </w:p>
        </w:tc>
      </w:tr>
      <w:tr w:rsidR="00056A46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056A46" w:rsidRPr="00146AE4" w:rsidRDefault="00056A46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056A46" w:rsidRPr="00146AE4" w:rsidRDefault="00056A46" w:rsidP="00322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92.0</w:t>
            </w:r>
          </w:p>
        </w:tc>
        <w:tc>
          <w:tcPr>
            <w:tcW w:w="1328" w:type="dxa"/>
            <w:noWrap/>
          </w:tcPr>
          <w:p w:rsidR="00056A46" w:rsidRPr="00146AE4" w:rsidRDefault="00AC74CA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90.0</w:t>
            </w:r>
          </w:p>
        </w:tc>
        <w:tc>
          <w:tcPr>
            <w:tcW w:w="1300" w:type="dxa"/>
          </w:tcPr>
          <w:p w:rsidR="00056A46" w:rsidRPr="00146AE4" w:rsidRDefault="00056A46" w:rsidP="003F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1.4</w:t>
            </w:r>
          </w:p>
        </w:tc>
        <w:tc>
          <w:tcPr>
            <w:tcW w:w="1300" w:type="dxa"/>
          </w:tcPr>
          <w:p w:rsidR="00056A46" w:rsidRPr="00146AE4" w:rsidRDefault="00056A46" w:rsidP="00BB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-2.2</w:t>
            </w:r>
          </w:p>
        </w:tc>
      </w:tr>
      <w:tr w:rsidR="00056A46" w:rsidRPr="00146AE4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056A46" w:rsidRPr="00146AE4" w:rsidRDefault="00056A46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056A46" w:rsidRPr="00146AE4" w:rsidRDefault="00056A46" w:rsidP="00322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100.6</w:t>
            </w:r>
          </w:p>
        </w:tc>
        <w:tc>
          <w:tcPr>
            <w:tcW w:w="1328" w:type="dxa"/>
            <w:noWrap/>
          </w:tcPr>
          <w:p w:rsidR="00056A46" w:rsidRPr="00146AE4" w:rsidRDefault="00AC74CA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97.3</w:t>
            </w:r>
          </w:p>
        </w:tc>
        <w:tc>
          <w:tcPr>
            <w:tcW w:w="1300" w:type="dxa"/>
          </w:tcPr>
          <w:p w:rsidR="00056A46" w:rsidRPr="00146AE4" w:rsidRDefault="00056A46" w:rsidP="003F7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4.5</w:t>
            </w:r>
          </w:p>
        </w:tc>
        <w:tc>
          <w:tcPr>
            <w:tcW w:w="1300" w:type="dxa"/>
          </w:tcPr>
          <w:p w:rsidR="00056A46" w:rsidRPr="00146AE4" w:rsidRDefault="00056A46" w:rsidP="00BB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-3.3</w:t>
            </w:r>
          </w:p>
        </w:tc>
      </w:tr>
      <w:tr w:rsidR="00056A46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056A46" w:rsidRPr="00146AE4" w:rsidRDefault="00056A46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79" w:type="dxa"/>
            <w:noWrap/>
          </w:tcPr>
          <w:p w:rsidR="00056A46" w:rsidRPr="00146AE4" w:rsidRDefault="00056A46" w:rsidP="00322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75.3</w:t>
            </w:r>
          </w:p>
        </w:tc>
        <w:tc>
          <w:tcPr>
            <w:tcW w:w="1328" w:type="dxa"/>
            <w:noWrap/>
          </w:tcPr>
          <w:p w:rsidR="00056A46" w:rsidRPr="00146AE4" w:rsidRDefault="00AC74CA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70.7</w:t>
            </w:r>
          </w:p>
        </w:tc>
        <w:tc>
          <w:tcPr>
            <w:tcW w:w="1300" w:type="dxa"/>
          </w:tcPr>
          <w:p w:rsidR="00056A46" w:rsidRPr="00146AE4" w:rsidRDefault="00056A46" w:rsidP="003F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3.0</w:t>
            </w:r>
          </w:p>
        </w:tc>
        <w:tc>
          <w:tcPr>
            <w:tcW w:w="1300" w:type="dxa"/>
          </w:tcPr>
          <w:p w:rsidR="00056A46" w:rsidRPr="00146AE4" w:rsidRDefault="00056A46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-6.1</w:t>
            </w:r>
          </w:p>
        </w:tc>
      </w:tr>
      <w:tr w:rsidR="00056A46" w:rsidRPr="00146AE4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056A46" w:rsidRPr="00146AE4" w:rsidRDefault="00056A46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056A46" w:rsidRPr="00146AE4" w:rsidRDefault="00056A46" w:rsidP="00322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23.3</w:t>
            </w:r>
          </w:p>
        </w:tc>
        <w:tc>
          <w:tcPr>
            <w:tcW w:w="1328" w:type="dxa"/>
            <w:noWrap/>
          </w:tcPr>
          <w:p w:rsidR="00056A46" w:rsidRPr="00146AE4" w:rsidRDefault="00AC74CA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22.1</w:t>
            </w:r>
            <w:bookmarkStart w:id="0" w:name="_GoBack"/>
            <w:bookmarkEnd w:id="0"/>
          </w:p>
        </w:tc>
        <w:tc>
          <w:tcPr>
            <w:tcW w:w="1300" w:type="dxa"/>
          </w:tcPr>
          <w:p w:rsidR="00056A46" w:rsidRPr="00146AE4" w:rsidRDefault="00056A46" w:rsidP="003F7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-6.9</w:t>
            </w:r>
          </w:p>
        </w:tc>
        <w:tc>
          <w:tcPr>
            <w:tcW w:w="1300" w:type="dxa"/>
          </w:tcPr>
          <w:p w:rsidR="00056A46" w:rsidRPr="00146AE4" w:rsidRDefault="00056A46" w:rsidP="00C14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-5.5</w:t>
            </w: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27" w:rsidRDefault="00DE2727" w:rsidP="007065F8">
      <w:pPr>
        <w:spacing w:after="0" w:line="240" w:lineRule="auto"/>
      </w:pPr>
      <w:r>
        <w:separator/>
      </w:r>
    </w:p>
  </w:endnote>
  <w:endnote w:type="continuationSeparator" w:id="0">
    <w:p w:rsidR="00DE2727" w:rsidRDefault="00DE2727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27" w:rsidRDefault="00DE2727" w:rsidP="007065F8">
      <w:pPr>
        <w:spacing w:after="0" w:line="240" w:lineRule="auto"/>
      </w:pPr>
      <w:r>
        <w:separator/>
      </w:r>
    </w:p>
  </w:footnote>
  <w:footnote w:type="continuationSeparator" w:id="0">
    <w:p w:rsidR="00DE2727" w:rsidRDefault="00DE2727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20CDC"/>
    <w:rsid w:val="000553EA"/>
    <w:rsid w:val="00055C6E"/>
    <w:rsid w:val="00056A46"/>
    <w:rsid w:val="00062BA2"/>
    <w:rsid w:val="00073962"/>
    <w:rsid w:val="000758DE"/>
    <w:rsid w:val="00095ABD"/>
    <w:rsid w:val="000A458B"/>
    <w:rsid w:val="000B30D2"/>
    <w:rsid w:val="000D3F6D"/>
    <w:rsid w:val="000E3F12"/>
    <w:rsid w:val="000F0EB3"/>
    <w:rsid w:val="001428F3"/>
    <w:rsid w:val="00146AE4"/>
    <w:rsid w:val="001504A1"/>
    <w:rsid w:val="001569B6"/>
    <w:rsid w:val="00161A8A"/>
    <w:rsid w:val="00184AC2"/>
    <w:rsid w:val="001871D2"/>
    <w:rsid w:val="0019235B"/>
    <w:rsid w:val="00194C9C"/>
    <w:rsid w:val="001A1012"/>
    <w:rsid w:val="001C338D"/>
    <w:rsid w:val="001C43D2"/>
    <w:rsid w:val="001C6B53"/>
    <w:rsid w:val="001F27B9"/>
    <w:rsid w:val="001F424F"/>
    <w:rsid w:val="002031C4"/>
    <w:rsid w:val="002073D0"/>
    <w:rsid w:val="00210E94"/>
    <w:rsid w:val="00226208"/>
    <w:rsid w:val="0022657E"/>
    <w:rsid w:val="002414A1"/>
    <w:rsid w:val="0024192E"/>
    <w:rsid w:val="00242BC9"/>
    <w:rsid w:val="0026666F"/>
    <w:rsid w:val="002726F9"/>
    <w:rsid w:val="00290392"/>
    <w:rsid w:val="00290F0E"/>
    <w:rsid w:val="002A1E0B"/>
    <w:rsid w:val="002A5F01"/>
    <w:rsid w:val="002B0CF0"/>
    <w:rsid w:val="002C4B95"/>
    <w:rsid w:val="002C6F9B"/>
    <w:rsid w:val="003037E9"/>
    <w:rsid w:val="00344B2B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21F8C"/>
    <w:rsid w:val="0043007D"/>
    <w:rsid w:val="004359C5"/>
    <w:rsid w:val="00446E52"/>
    <w:rsid w:val="004676F0"/>
    <w:rsid w:val="00482B3D"/>
    <w:rsid w:val="00484BAA"/>
    <w:rsid w:val="00485E5A"/>
    <w:rsid w:val="0049109E"/>
    <w:rsid w:val="0049346B"/>
    <w:rsid w:val="00493D11"/>
    <w:rsid w:val="004A262B"/>
    <w:rsid w:val="004A6869"/>
    <w:rsid w:val="004D2DC1"/>
    <w:rsid w:val="004E3923"/>
    <w:rsid w:val="004E7EAF"/>
    <w:rsid w:val="004F1EF8"/>
    <w:rsid w:val="004F4715"/>
    <w:rsid w:val="0050095C"/>
    <w:rsid w:val="00503902"/>
    <w:rsid w:val="00507985"/>
    <w:rsid w:val="00514C5A"/>
    <w:rsid w:val="00515342"/>
    <w:rsid w:val="00520621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D3B67"/>
    <w:rsid w:val="005E5A3C"/>
    <w:rsid w:val="005F5743"/>
    <w:rsid w:val="006005D1"/>
    <w:rsid w:val="00610460"/>
    <w:rsid w:val="00620F8B"/>
    <w:rsid w:val="006245E5"/>
    <w:rsid w:val="00630BCE"/>
    <w:rsid w:val="006335FB"/>
    <w:rsid w:val="00634912"/>
    <w:rsid w:val="00641DA1"/>
    <w:rsid w:val="0066304C"/>
    <w:rsid w:val="00663970"/>
    <w:rsid w:val="00677CBE"/>
    <w:rsid w:val="00697924"/>
    <w:rsid w:val="006A47B3"/>
    <w:rsid w:val="006B1E56"/>
    <w:rsid w:val="006B3567"/>
    <w:rsid w:val="006C59D9"/>
    <w:rsid w:val="006E0E9A"/>
    <w:rsid w:val="006E72F9"/>
    <w:rsid w:val="007065F8"/>
    <w:rsid w:val="00717468"/>
    <w:rsid w:val="00723AC6"/>
    <w:rsid w:val="00727627"/>
    <w:rsid w:val="0075084D"/>
    <w:rsid w:val="00781A2B"/>
    <w:rsid w:val="007900DC"/>
    <w:rsid w:val="007B192F"/>
    <w:rsid w:val="007B24FA"/>
    <w:rsid w:val="007B61FB"/>
    <w:rsid w:val="007D0079"/>
    <w:rsid w:val="007D0774"/>
    <w:rsid w:val="007D2264"/>
    <w:rsid w:val="007E179F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77EA"/>
    <w:rsid w:val="009661E0"/>
    <w:rsid w:val="009904DB"/>
    <w:rsid w:val="009912EC"/>
    <w:rsid w:val="009A24D6"/>
    <w:rsid w:val="009A35D6"/>
    <w:rsid w:val="009C12C4"/>
    <w:rsid w:val="009C1C4D"/>
    <w:rsid w:val="009C2513"/>
    <w:rsid w:val="009D0927"/>
    <w:rsid w:val="009D1DF7"/>
    <w:rsid w:val="009D69B9"/>
    <w:rsid w:val="009F1D4B"/>
    <w:rsid w:val="00A07D02"/>
    <w:rsid w:val="00A17164"/>
    <w:rsid w:val="00A26AA6"/>
    <w:rsid w:val="00A451EE"/>
    <w:rsid w:val="00A763A1"/>
    <w:rsid w:val="00AA13D5"/>
    <w:rsid w:val="00AA7E2B"/>
    <w:rsid w:val="00AB51C3"/>
    <w:rsid w:val="00AC40C0"/>
    <w:rsid w:val="00AC5535"/>
    <w:rsid w:val="00AC74CA"/>
    <w:rsid w:val="00AD3006"/>
    <w:rsid w:val="00AE095C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7657"/>
    <w:rsid w:val="00B85A44"/>
    <w:rsid w:val="00BA5148"/>
    <w:rsid w:val="00BB6821"/>
    <w:rsid w:val="00BD2522"/>
    <w:rsid w:val="00BD2FC9"/>
    <w:rsid w:val="00BE2814"/>
    <w:rsid w:val="00BF0B58"/>
    <w:rsid w:val="00C01B5E"/>
    <w:rsid w:val="00C06435"/>
    <w:rsid w:val="00C11301"/>
    <w:rsid w:val="00C14DFF"/>
    <w:rsid w:val="00C27F45"/>
    <w:rsid w:val="00C37FE7"/>
    <w:rsid w:val="00C6528B"/>
    <w:rsid w:val="00C716E7"/>
    <w:rsid w:val="00C9031E"/>
    <w:rsid w:val="00C937CD"/>
    <w:rsid w:val="00C9591B"/>
    <w:rsid w:val="00CC5BA0"/>
    <w:rsid w:val="00CC774F"/>
    <w:rsid w:val="00CD2AF0"/>
    <w:rsid w:val="00CE0456"/>
    <w:rsid w:val="00CE209E"/>
    <w:rsid w:val="00CF20D8"/>
    <w:rsid w:val="00CF66DE"/>
    <w:rsid w:val="00D06F30"/>
    <w:rsid w:val="00D17FFB"/>
    <w:rsid w:val="00D24657"/>
    <w:rsid w:val="00D24FB2"/>
    <w:rsid w:val="00D37763"/>
    <w:rsid w:val="00D60AC3"/>
    <w:rsid w:val="00D61952"/>
    <w:rsid w:val="00D63D85"/>
    <w:rsid w:val="00D71459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E0706D"/>
    <w:rsid w:val="00E313B7"/>
    <w:rsid w:val="00E402F1"/>
    <w:rsid w:val="00E45688"/>
    <w:rsid w:val="00E53300"/>
    <w:rsid w:val="00E60A5E"/>
    <w:rsid w:val="00E621A6"/>
    <w:rsid w:val="00E85590"/>
    <w:rsid w:val="00EA657D"/>
    <w:rsid w:val="00EC4D74"/>
    <w:rsid w:val="00ED1642"/>
    <w:rsid w:val="00F00215"/>
    <w:rsid w:val="00F12DCB"/>
    <w:rsid w:val="00F26139"/>
    <w:rsid w:val="00F41337"/>
    <w:rsid w:val="00F56154"/>
    <w:rsid w:val="00F642FF"/>
    <w:rsid w:val="00F64EAF"/>
    <w:rsid w:val="00F90C4B"/>
    <w:rsid w:val="00F91582"/>
    <w:rsid w:val="00F9707B"/>
    <w:rsid w:val="00FB1718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2"/>
              <c:layout>
                <c:manualLayout>
                  <c:x val="-2.0763348882861323E-2"/>
                  <c:y val="1.1497937757780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470951616562226E-2"/>
                  <c:y val="2.3402699662542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570898506094478E-2"/>
                  <c:y val="-3.6121109861267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570898506094478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389418119598424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71.62</c:v>
                </c:pt>
                <c:pt idx="1">
                  <c:v>66.64</c:v>
                </c:pt>
                <c:pt idx="2">
                  <c:v>67</c:v>
                </c:pt>
                <c:pt idx="3">
                  <c:v>68.459999999999994</c:v>
                </c:pt>
                <c:pt idx="4">
                  <c:v>68.75</c:v>
                </c:pt>
                <c:pt idx="5">
                  <c:v>69.430000000000007</c:v>
                </c:pt>
                <c:pt idx="6">
                  <c:v>67.03</c:v>
                </c:pt>
                <c:pt idx="7">
                  <c:v>74.44</c:v>
                </c:pt>
                <c:pt idx="8">
                  <c:v>74.290000000000006</c:v>
                </c:pt>
                <c:pt idx="9">
                  <c:v>74.040000000000006</c:v>
                </c:pt>
                <c:pt idx="10">
                  <c:v>68.930000000000007</c:v>
                </c:pt>
                <c:pt idx="11">
                  <c:v>63.38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5998923239831131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66.900000000000006</c:v>
                </c:pt>
                <c:pt idx="1">
                  <c:v>65.7</c:v>
                </c:pt>
                <c:pt idx="2">
                  <c:v>67.8</c:v>
                </c:pt>
                <c:pt idx="3" formatCode="0.0">
                  <c:v>71.3</c:v>
                </c:pt>
                <c:pt idx="4">
                  <c:v>72.8</c:v>
                </c:pt>
                <c:pt idx="5">
                  <c:v>70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2892160"/>
        <c:axId val="134039040"/>
      </c:lineChart>
      <c:catAx>
        <c:axId val="132892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039040"/>
        <c:crosses val="autoZero"/>
        <c:auto val="1"/>
        <c:lblAlgn val="ctr"/>
        <c:lblOffset val="100"/>
        <c:noMultiLvlLbl val="0"/>
      </c:catAx>
      <c:valAx>
        <c:axId val="134039040"/>
        <c:scaling>
          <c:orientation val="minMax"/>
          <c:min val="55"/>
        </c:scaling>
        <c:delete val="0"/>
        <c:axPos val="l"/>
        <c:numFmt formatCode="0.0" sourceLinked="1"/>
        <c:majorTickMark val="out"/>
        <c:minorTickMark val="none"/>
        <c:tickLblPos val="nextTo"/>
        <c:crossAx val="132892160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 12</cp:lastModifiedBy>
  <cp:revision>6</cp:revision>
  <cp:lastPrinted>2017-06-22T11:04:00Z</cp:lastPrinted>
  <dcterms:created xsi:type="dcterms:W3CDTF">2017-06-22T10:41:00Z</dcterms:created>
  <dcterms:modified xsi:type="dcterms:W3CDTF">2017-06-22T11:22:00Z</dcterms:modified>
</cp:coreProperties>
</file>